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B2F6" w14:textId="77777777" w:rsidR="00C16D46" w:rsidRPr="00C872E2" w:rsidRDefault="00C16D46" w:rsidP="00C16D46">
      <w:pPr>
        <w:pStyle w:val="Ttulo1"/>
      </w:pPr>
      <w:r>
        <w:rPr>
          <w:color w:val="000000" w:themeColor="text1"/>
          <w:sz w:val="22"/>
          <w:szCs w:val="22"/>
        </w:rPr>
        <w:t xml:space="preserve">Lube-Tips 46 - </w:t>
      </w:r>
      <w:r w:rsidRPr="00C872E2">
        <w:t xml:space="preserve">Mantenga a los </w:t>
      </w:r>
      <w:proofErr w:type="spellStart"/>
      <w:r w:rsidRPr="00C872E2">
        <w:t>gremlins</w:t>
      </w:r>
      <w:proofErr w:type="spellEnd"/>
      <w:r w:rsidRPr="00C872E2">
        <w:t xml:space="preserve"> fuera de sus tambores y totes</w:t>
      </w:r>
    </w:p>
    <w:p w14:paraId="4820AE75" w14:textId="03864FA0" w:rsidR="00C16D46" w:rsidRPr="00C872E2" w:rsidRDefault="00C16D46" w:rsidP="00C16D46">
      <w:pPr>
        <w:pStyle w:val="Ttulo1"/>
      </w:pPr>
      <w:r w:rsidRPr="00C872E2">
        <w:t xml:space="preserve">Mantenga a los </w:t>
      </w:r>
      <w:proofErr w:type="spellStart"/>
      <w:r w:rsidRPr="00C872E2">
        <w:t>gremlins</w:t>
      </w:r>
      <w:proofErr w:type="spellEnd"/>
      <w:r w:rsidRPr="00C872E2">
        <w:t xml:space="preserve"> fuera de sus tambores y totes</w:t>
      </w:r>
    </w:p>
    <w:p w14:paraId="6FDA8417" w14:textId="17661C04" w:rsidR="00AD33CD" w:rsidRDefault="00C16D46">
      <w:pPr>
        <w:rPr>
          <w:rFonts w:ascii="Verdana" w:hAnsi="Verdana" w:cs="Arial"/>
          <w:color w:val="000000" w:themeColor="text1"/>
          <w:sz w:val="22"/>
          <w:szCs w:val="22"/>
        </w:rPr>
      </w:pPr>
      <w:r w:rsidRPr="00C16D46">
        <w:rPr>
          <w:rFonts w:ascii="Verdana" w:hAnsi="Verdana" w:cs="Arial"/>
          <w:color w:val="000000" w:themeColor="text1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34D7A81" wp14:editId="4511A640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800000" cy="1788889"/>
            <wp:effectExtent l="0" t="0" r="3810" b="1905"/>
            <wp:wrapSquare wrapText="bothSides"/>
            <wp:docPr id="13074434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44342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88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72E2">
        <w:rPr>
          <w:rFonts w:ascii="Verdana" w:hAnsi="Verdana" w:cs="Arial"/>
          <w:color w:val="000000" w:themeColor="text1"/>
          <w:sz w:val="22"/>
          <w:szCs w:val="22"/>
        </w:rPr>
        <w:t xml:space="preserve">La mayoría de los trabajadores del mantenimiento en las plantas no son conscientes de la cantidad de contaminación que invade los tambores y contenedores que permanecen estáticos durante el almacenamiento. Peor aún es la ignorancia general sobre los daños causados </w:t>
      </w:r>
      <w:r w:rsidRPr="00C872E2">
        <w:rPr>
          <w:rFonts w:ascii="Arial" w:hAnsi="Arial" w:cs="Arial"/>
          <w:color w:val="000000" w:themeColor="text1"/>
          <w:sz w:val="22"/>
          <w:szCs w:val="22"/>
        </w:rPr>
        <w:t>​​</w:t>
      </w:r>
      <w:r w:rsidRPr="00C872E2">
        <w:rPr>
          <w:rFonts w:ascii="Verdana" w:hAnsi="Verdana" w:cs="Arial"/>
          <w:color w:val="000000" w:themeColor="text1"/>
          <w:sz w:val="22"/>
          <w:szCs w:val="22"/>
        </w:rPr>
        <w:t>por estos intrusos una vez que ingresan. En gran medida, el daño causado por el contaminante al lubricante y a la máquina es mucho mayor que si los mismos aditivos se agregaran directamente al aceite que circula en la máquina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. </w:t>
      </w:r>
      <w:r w:rsidRPr="00C16D46">
        <w:rPr>
          <w:rFonts w:ascii="Verdana" w:hAnsi="Verdana" w:cs="Arial"/>
          <w:b/>
          <w:bCs/>
          <w:color w:val="000000" w:themeColor="text1"/>
          <w:sz w:val="22"/>
          <w:szCs w:val="22"/>
        </w:rPr>
        <w:t>Lea más.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</w:p>
    <w:p w14:paraId="587672EF" w14:textId="269FA053" w:rsidR="00C16D46" w:rsidRDefault="00C16D46" w:rsidP="00C16D46">
      <w:pPr>
        <w:pStyle w:val="Ttulo1"/>
      </w:pPr>
      <w:r>
        <w:t>Detección y comprensión de los depósitos inducidos por esfuerzo de corte</w:t>
      </w:r>
    </w:p>
    <w:p w14:paraId="206E5792" w14:textId="7210FE4F" w:rsidR="00645206" w:rsidRDefault="00DB1696" w:rsidP="00645206">
      <w:pPr>
        <w:rPr>
          <w:b/>
          <w:bCs/>
        </w:rPr>
      </w:pPr>
      <w:r w:rsidRPr="00293AB0">
        <w:rPr>
          <w:rFonts w:ascii="Verdana" w:hAnsi="Verdana" w:cs="Arial"/>
          <w:color w:val="000000" w:themeColor="text1"/>
          <w:sz w:val="22"/>
          <w:szCs w:val="22"/>
        </w:rPr>
        <w:fldChar w:fldCharType="begin"/>
      </w:r>
      <w:r w:rsidRPr="00293AB0">
        <w:rPr>
          <w:rFonts w:ascii="Verdana" w:hAnsi="Verdana" w:cs="Arial"/>
          <w:color w:val="000000" w:themeColor="text1"/>
          <w:sz w:val="22"/>
          <w:szCs w:val="22"/>
        </w:rPr>
        <w:instrText xml:space="preserve"> INCLUDEPICTURE "https://media.noria.com/sites/Uploads/2023/10/10/2030ae33-33e6-4c26-8ded-c9f3f7554fe9_Livingstone_Fig3.jpeg" \* MERGEFORMATINET </w:instrText>
      </w:r>
      <w:r w:rsidRPr="00293AB0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BF4C48">
        <w:rPr>
          <w:rFonts w:ascii="Verdana" w:hAnsi="Verdana" w:cs="Arial"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D9A32AF" wp14:editId="65F329AB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1800000" cy="1099794"/>
            <wp:effectExtent l="0" t="0" r="3810" b="5715"/>
            <wp:wrapSquare wrapText="bothSides"/>
            <wp:docPr id="1295430529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9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AB0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  <w:r w:rsidR="00645206" w:rsidRPr="00645206">
        <w:t xml:space="preserve">Los depósitos de barniz en los cojinetes representan una seria amenaza para el funcionamiento confiable de las turbomáquinas, ya que pueden provocar aumentos de temperatura y elevar las tasas de desgaste. </w:t>
      </w:r>
      <w:r>
        <w:t>Existe</w:t>
      </w:r>
      <w:r w:rsidR="00645206" w:rsidRPr="00645206">
        <w:t xml:space="preserve"> un mecanismo de degradación llamado esfuerzo de corte </w:t>
      </w:r>
      <w:r>
        <w:t xml:space="preserve">que </w:t>
      </w:r>
      <w:r w:rsidR="00645206" w:rsidRPr="00645206">
        <w:t xml:space="preserve">puede generar temperaturas muy altas, lo que da como resultado depósitos localizados. Estos depósitos pueden ocurrir incluso cuando la mayor parte del aceite se encuentra en condiciones adecuadas y las pruebas de barniz tradicionales no pronostican ningún problema. </w:t>
      </w:r>
      <w:r>
        <w:t xml:space="preserve">Este artículo aborda este mecanismo de formación. </w:t>
      </w:r>
      <w:r w:rsidRPr="00DB1696">
        <w:rPr>
          <w:b/>
          <w:bCs/>
        </w:rPr>
        <w:t>Lea más.</w:t>
      </w:r>
    </w:p>
    <w:p w14:paraId="52AD1B08" w14:textId="69279261" w:rsidR="00DB1696" w:rsidRDefault="003C62BF" w:rsidP="003C62BF">
      <w:pPr>
        <w:pStyle w:val="Ttulo1"/>
      </w:pPr>
      <w:r w:rsidRPr="003124AB">
        <w:t xml:space="preserve">Obstrucción del filtro: El </w:t>
      </w:r>
      <w:r>
        <w:t>fluido</w:t>
      </w:r>
      <w:r w:rsidRPr="003124AB">
        <w:t xml:space="preserve"> no siempre es el culpable</w:t>
      </w:r>
    </w:p>
    <w:p w14:paraId="156EFA96" w14:textId="28F97BE4" w:rsidR="003C62BF" w:rsidRDefault="003C62BF" w:rsidP="003C62BF">
      <w:pPr>
        <w:rPr>
          <w:rFonts w:ascii="Verdana" w:hAnsi="Verdana" w:cs="Arial"/>
          <w:b/>
          <w:bCs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30C3CB" wp14:editId="1A3419E3">
            <wp:simplePos x="0" y="0"/>
            <wp:positionH relativeFrom="column">
              <wp:posOffset>52705</wp:posOffset>
            </wp:positionH>
            <wp:positionV relativeFrom="paragraph">
              <wp:posOffset>29845</wp:posOffset>
            </wp:positionV>
            <wp:extent cx="1334135" cy="1330325"/>
            <wp:effectExtent l="0" t="0" r="0" b="3175"/>
            <wp:wrapSquare wrapText="bothSides"/>
            <wp:docPr id="12947617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761745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44"/>
                    <a:stretch/>
                  </pic:blipFill>
                  <pic:spPr bwMode="auto">
                    <a:xfrm>
                      <a:off x="0" y="0"/>
                      <a:ext cx="1334135" cy="133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24AB">
        <w:rPr>
          <w:rFonts w:ascii="Verdana" w:hAnsi="Verdana" w:cs="Arial"/>
          <w:color w:val="000000" w:themeColor="text1"/>
          <w:sz w:val="22"/>
          <w:szCs w:val="22"/>
        </w:rPr>
        <w:t xml:space="preserve">Es fácil culpar al </w:t>
      </w:r>
      <w:r>
        <w:rPr>
          <w:rFonts w:ascii="Verdana" w:hAnsi="Verdana" w:cs="Arial"/>
          <w:color w:val="000000" w:themeColor="text1"/>
          <w:sz w:val="22"/>
          <w:szCs w:val="22"/>
        </w:rPr>
        <w:t>fluido</w:t>
      </w:r>
      <w:r w:rsidRPr="003124AB">
        <w:rPr>
          <w:rFonts w:ascii="Verdana" w:hAnsi="Verdana" w:cs="Arial"/>
          <w:color w:val="000000" w:themeColor="text1"/>
          <w:sz w:val="22"/>
          <w:szCs w:val="22"/>
        </w:rPr>
        <w:t xml:space="preserve"> cuando se tiene un problema de obstrucción del filtro. Sin embargo, 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hay otros posibles causantes de falla u obstrucción del filtro. Este breve artículo narra una </w:t>
      </w:r>
      <w:r w:rsidRPr="003124AB">
        <w:rPr>
          <w:rFonts w:ascii="Verdana" w:hAnsi="Verdana" w:cs="Arial"/>
          <w:color w:val="000000" w:themeColor="text1"/>
          <w:sz w:val="22"/>
          <w:szCs w:val="22"/>
        </w:rPr>
        <w:t xml:space="preserve">experiencia </w:t>
      </w:r>
      <w:r>
        <w:rPr>
          <w:rFonts w:ascii="Verdana" w:hAnsi="Verdana" w:cs="Arial"/>
          <w:color w:val="000000" w:themeColor="text1"/>
          <w:sz w:val="22"/>
          <w:szCs w:val="22"/>
        </w:rPr>
        <w:t xml:space="preserve">que </w:t>
      </w:r>
      <w:r w:rsidRPr="003124AB">
        <w:rPr>
          <w:rFonts w:ascii="Verdana" w:hAnsi="Verdana" w:cs="Arial"/>
          <w:color w:val="000000" w:themeColor="text1"/>
          <w:sz w:val="22"/>
          <w:szCs w:val="22"/>
        </w:rPr>
        <w:t>demuestra que vale la pena abrir la lata e inspeccionar el medio filtrante. </w:t>
      </w:r>
      <w:r w:rsidRPr="003C62BF">
        <w:rPr>
          <w:rFonts w:ascii="Verdana" w:hAnsi="Verdana" w:cs="Arial"/>
          <w:b/>
          <w:bCs/>
          <w:color w:val="000000" w:themeColor="text1"/>
          <w:sz w:val="22"/>
          <w:szCs w:val="22"/>
        </w:rPr>
        <w:t>Lea más.</w:t>
      </w:r>
    </w:p>
    <w:p w14:paraId="14A36E65" w14:textId="77777777" w:rsidR="003C62BF" w:rsidRDefault="003C62BF" w:rsidP="003C62BF">
      <w:pPr>
        <w:rPr>
          <w:rFonts w:ascii="Verdana" w:hAnsi="Verdana" w:cs="Arial"/>
          <w:b/>
          <w:bCs/>
          <w:color w:val="000000" w:themeColor="text1"/>
          <w:sz w:val="22"/>
          <w:szCs w:val="22"/>
        </w:rPr>
      </w:pPr>
    </w:p>
    <w:p w14:paraId="20EB553A" w14:textId="70B2D8CD" w:rsidR="003C62BF" w:rsidRDefault="003C62BF" w:rsidP="003C62BF">
      <w:pPr>
        <w:pStyle w:val="Ttulo1"/>
      </w:pPr>
      <w:proofErr w:type="spellStart"/>
      <w:r>
        <w:t>Lube</w:t>
      </w:r>
      <w:proofErr w:type="spellEnd"/>
      <w:r>
        <w:t xml:space="preserve"> Tip: </w:t>
      </w:r>
      <w:r>
        <w:t xml:space="preserve">Inspeccione sus indicadores de nivel </w:t>
      </w:r>
    </w:p>
    <w:p w14:paraId="6030E146" w14:textId="5123D019" w:rsidR="003C62BF" w:rsidRPr="003C62BF" w:rsidRDefault="003C62BF" w:rsidP="003C62BF">
      <w:r>
        <w:t>Inspeccione periódicamente el orificio de ventilación en las mirillas de nivel ventiladas</w:t>
      </w:r>
      <w:r>
        <w:t xml:space="preserve"> del</w:t>
      </w:r>
      <w:r>
        <w:t xml:space="preserve"> tipo columna. En entornos sucios, el orificio de ventilación puede obstruirse fácilmente, provocando una bolsa de aire en el espacio superior del </w:t>
      </w:r>
      <w:r>
        <w:t>indicador</w:t>
      </w:r>
      <w:r>
        <w:t xml:space="preserve">. Esto dará como resultado un nivel de aceite falso (más alto que el real). Muchos prefieren </w:t>
      </w:r>
      <w:r>
        <w:t xml:space="preserve">conectar la ventilación del indicador de nivel al puerto de respiración de la máquina, instalar un respirador desecante en la parte superior del indicador de nivel o </w:t>
      </w:r>
      <w:r>
        <w:t xml:space="preserve">emplear </w:t>
      </w:r>
      <w:r>
        <w:t>indicadores de nivel</w:t>
      </w:r>
      <w:r>
        <w:t xml:space="preserve"> de </w:t>
      </w:r>
      <w:r>
        <w:t xml:space="preserve">puerto dual o de </w:t>
      </w:r>
      <w:r>
        <w:t>pared (sin ventilación).</w:t>
      </w:r>
    </w:p>
    <w:sectPr w:rsidR="003C62BF" w:rsidRPr="003C62BF" w:rsidSect="003C62BF">
      <w:pgSz w:w="12240" w:h="15840"/>
      <w:pgMar w:top="773" w:right="1701" w:bottom="61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46"/>
    <w:rsid w:val="000252F3"/>
    <w:rsid w:val="00284304"/>
    <w:rsid w:val="002C04DD"/>
    <w:rsid w:val="003C5337"/>
    <w:rsid w:val="003C62BF"/>
    <w:rsid w:val="003D3DE2"/>
    <w:rsid w:val="0047439C"/>
    <w:rsid w:val="005E5BE5"/>
    <w:rsid w:val="00645206"/>
    <w:rsid w:val="007660F4"/>
    <w:rsid w:val="008B5259"/>
    <w:rsid w:val="00AD33CD"/>
    <w:rsid w:val="00B16445"/>
    <w:rsid w:val="00B75F1B"/>
    <w:rsid w:val="00C16D46"/>
    <w:rsid w:val="00DB1696"/>
    <w:rsid w:val="00E35FF4"/>
    <w:rsid w:val="00EA48A5"/>
    <w:rsid w:val="00F54475"/>
    <w:rsid w:val="00FD07E6"/>
    <w:rsid w:val="00FD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66FD8"/>
  <w15:chartTrackingRefBased/>
  <w15:docId w15:val="{95400175-DCB1-F04F-A2CF-E189AFD7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801"/>
    <w:pPr>
      <w:spacing w:before="100" w:beforeAutospacing="1" w:after="100" w:afterAutospacing="1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4801"/>
    <w:pPr>
      <w:outlineLvl w:val="0"/>
    </w:pPr>
    <w:rPr>
      <w:rFonts w:ascii="Verdana" w:hAnsi="Verdana" w:cs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4801"/>
    <w:rPr>
      <w:rFonts w:ascii="Verdana" w:hAnsi="Verdana" w:cs="Arial"/>
      <w:b/>
    </w:rPr>
  </w:style>
  <w:style w:type="character" w:styleId="Textoennegrita">
    <w:name w:val="Strong"/>
    <w:qFormat/>
    <w:rsid w:val="002C04DD"/>
    <w:rPr>
      <w:rFonts w:asciiTheme="minorHAnsi" w:hAnsiTheme="minorHAnsi"/>
      <w:b/>
      <w:bCs/>
      <w:sz w:val="20"/>
      <w:lang w:val="es-ES"/>
    </w:rPr>
  </w:style>
  <w:style w:type="paragraph" w:customStyle="1" w:styleId="TtuloNoria">
    <w:name w:val="Título Noria"/>
    <w:basedOn w:val="Ttulo1"/>
    <w:next w:val="Normal"/>
    <w:autoRedefine/>
    <w:rsid w:val="00C16D46"/>
    <w:pPr>
      <w:keepNext/>
      <w:spacing w:before="240" w:beforeAutospacing="0" w:after="60" w:afterAutospacing="0"/>
      <w:jc w:val="left"/>
    </w:pPr>
    <w:rPr>
      <w:rFonts w:eastAsia="Times New Roman"/>
      <w:bCs/>
      <w:color w:val="000000" w:themeColor="text1"/>
      <w:kern w:val="32"/>
      <w:sz w:val="36"/>
      <w:szCs w:val="36"/>
      <w:lang w:val="es-MX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Noria Latín América, S.A. de C.V.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Trujillo Corona</dc:creator>
  <cp:keywords/>
  <dc:description/>
  <cp:lastModifiedBy>Roberto Trujillo Corona</cp:lastModifiedBy>
  <cp:revision>2</cp:revision>
  <dcterms:created xsi:type="dcterms:W3CDTF">2023-11-16T19:37:00Z</dcterms:created>
  <dcterms:modified xsi:type="dcterms:W3CDTF">2023-11-16T22:44:00Z</dcterms:modified>
</cp:coreProperties>
</file>